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</w:tblGrid>
      <w:tr w:rsidR="00E96D60" w:rsidRPr="008E0B7F" w14:paraId="782812B0" w14:textId="77777777" w:rsidTr="00613BAF">
        <w:tc>
          <w:tcPr>
            <w:tcW w:w="3128" w:type="dxa"/>
          </w:tcPr>
          <w:p w14:paraId="557D7577" w14:textId="77777777" w:rsidR="00E96D60" w:rsidRPr="00426C3F" w:rsidRDefault="00E96D60" w:rsidP="00CC0177">
            <w:pPr>
              <w:tabs>
                <w:tab w:val="left" w:pos="6509"/>
              </w:tabs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14:paraId="3461F169" w14:textId="77777777" w:rsidR="00CC0177" w:rsidRPr="00CC0177" w:rsidRDefault="00CC0177" w:rsidP="00CC0177">
      <w:pPr>
        <w:tabs>
          <w:tab w:val="left" w:pos="6509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38D81B1" w14:textId="7976A763" w:rsidR="00CC0177" w:rsidRPr="003C5F88" w:rsidRDefault="00CC0177" w:rsidP="003C5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3C5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2023 ЖЫЛҒА АРНАЛҒАН «МАҢҒЫСТАУ ЖАСТАРЫ» ТҰРҒЫН ҮЙ АЛУ ҮШІН ЖЕҢІЛДЕТІЛГЕН НЕСИЕЛЕУ БАҒДАРЛАМАСЫ</w:t>
      </w:r>
    </w:p>
    <w:p w14:paraId="58008849" w14:textId="77777777" w:rsidR="003C5F88" w:rsidRPr="003C5F88" w:rsidRDefault="003C5F88" w:rsidP="003C5F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06B53534" w14:textId="4F49432B" w:rsidR="00CC0177" w:rsidRPr="00714B45" w:rsidRDefault="00CC0177" w:rsidP="00714B45">
      <w:pPr>
        <w:pStyle w:val="a5"/>
        <w:numPr>
          <w:ilvl w:val="0"/>
          <w:numId w:val="14"/>
        </w:numPr>
        <w:spacing w:after="200" w:line="240" w:lineRule="auto"/>
        <w:ind w:left="0"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14B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БАҒДАРЛАМА СТРАТЕГИЯСЫ: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458"/>
      </w:tblGrid>
      <w:tr w:rsidR="00CC0177" w:rsidRPr="00E96D60" w14:paraId="468E57E3" w14:textId="77777777" w:rsidTr="00613BAF">
        <w:tc>
          <w:tcPr>
            <w:tcW w:w="3227" w:type="dxa"/>
          </w:tcPr>
          <w:p w14:paraId="70C6AD75" w14:textId="77777777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Бағдарлама атауы</w:t>
            </w:r>
          </w:p>
        </w:tc>
        <w:tc>
          <w:tcPr>
            <w:tcW w:w="6626" w:type="dxa"/>
          </w:tcPr>
          <w:p w14:paraId="10F949BB" w14:textId="34F04CA1" w:rsidR="00CC0177" w:rsidRPr="003C5F88" w:rsidRDefault="00CC0177" w:rsidP="003C5F88">
            <w:pPr>
              <w:spacing w:after="200"/>
              <w:ind w:firstLine="52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2023 жылға арналған «Маңғыстау жастары» тұрғын үй алу үшін жеңілдетілген несиелеу бағдарламасының ережесі</w:t>
            </w:r>
            <w:r w:rsidRPr="003C5F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(бұдан әрі –</w:t>
            </w:r>
            <w:r w:rsid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Бағдарлама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CC0177" w:rsidRPr="00E96D60" w14:paraId="159C0098" w14:textId="77777777" w:rsidTr="00613BAF">
        <w:trPr>
          <w:trHeight w:val="2250"/>
        </w:trPr>
        <w:tc>
          <w:tcPr>
            <w:tcW w:w="3227" w:type="dxa"/>
          </w:tcPr>
          <w:p w14:paraId="5DCE67D8" w14:textId="77777777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Әзірлеу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үшін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негіздеме</w:t>
            </w:r>
            <w:proofErr w:type="spellEnd"/>
          </w:p>
        </w:tc>
        <w:tc>
          <w:tcPr>
            <w:tcW w:w="6626" w:type="dxa"/>
            <w:vAlign w:val="center"/>
          </w:tcPr>
          <w:p w14:paraId="5272B524" w14:textId="05885865" w:rsidR="00CC0177" w:rsidRPr="003C5F88" w:rsidRDefault="003C5F88" w:rsidP="003C5F88">
            <w:pPr>
              <w:spacing w:after="200"/>
              <w:ind w:firstLine="52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Қазақстан Республикасы Бюджет кодексінің 180-бабы, </w:t>
            </w:r>
            <w:bookmarkStart w:id="0" w:name="_Hlk141638213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Мемлекеттік жастар саясаты туралы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Қазақстан Республикасы Заңының </w:t>
            </w:r>
            <w:bookmarkEnd w:id="0"/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4-бабының 5</w:t>
            </w:r>
            <w:r w:rsidR="004346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тармақшасы, 19-бабы,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Республикасының Мемлекеттік жастар саясатының 2023-2029 жылдарға арналған тұжырымдамасын бекіту туралы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Үкіметінің 2023 жылғы 28 наурыздағы № 247 қаулысы</w:t>
            </w:r>
          </w:p>
        </w:tc>
      </w:tr>
      <w:tr w:rsidR="00CC0177" w:rsidRPr="00E96D60" w14:paraId="3288A504" w14:textId="77777777" w:rsidTr="00613BAF">
        <w:tc>
          <w:tcPr>
            <w:tcW w:w="3227" w:type="dxa"/>
          </w:tcPr>
          <w:p w14:paraId="1CCF8AE2" w14:textId="77777777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Бағдарламаны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әзірлеуші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</w:t>
            </w:r>
          </w:p>
        </w:tc>
        <w:tc>
          <w:tcPr>
            <w:tcW w:w="6626" w:type="dxa"/>
          </w:tcPr>
          <w:p w14:paraId="610FB466" w14:textId="158E9D95" w:rsidR="00CC0177" w:rsidRPr="003C5F88" w:rsidRDefault="0071042D" w:rsidP="003C5F88">
            <w:pPr>
              <w:spacing w:after="200"/>
              <w:ind w:firstLine="52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CC0177" w:rsidRPr="003C5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Маңғыстау</w:t>
            </w:r>
            <w:r w:rsidR="00CC0177"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облысының жастар саясаты мәселелері жөніндегі басқармасы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</w:p>
        </w:tc>
      </w:tr>
      <w:tr w:rsidR="00CC0177" w:rsidRPr="00E96D60" w14:paraId="7FC2C4FD" w14:textId="77777777" w:rsidTr="00613BAF">
        <w:tc>
          <w:tcPr>
            <w:tcW w:w="3227" w:type="dxa"/>
          </w:tcPr>
          <w:p w14:paraId="3F2F5CE0" w14:textId="34B8AB50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Бағдарламаны іске асыруға жауапты </w:t>
            </w:r>
            <w:r w:rsidR="003C5F88"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ұйымдар</w:t>
            </w:r>
          </w:p>
        </w:tc>
        <w:tc>
          <w:tcPr>
            <w:tcW w:w="6626" w:type="dxa"/>
          </w:tcPr>
          <w:p w14:paraId="170ACFB9" w14:textId="0358B884" w:rsidR="00CC0177" w:rsidRPr="003C5F88" w:rsidRDefault="0071042D" w:rsidP="003C5F88">
            <w:pPr>
              <w:ind w:firstLine="38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CC0177" w:rsidRPr="003C5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Маңғыстау</w:t>
            </w:r>
            <w:r w:rsidR="00CC0177"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облысының жастар саясаты мәселелері жөніндегі басқармасы</w:t>
            </w: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  <w:r w:rsidR="00CD75E1"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14CFB796" w14:textId="60799328" w:rsidR="00CC0177" w:rsidRPr="003C5F88" w:rsidRDefault="00CC0177" w:rsidP="003C5F88">
            <w:pPr>
              <w:spacing w:after="200"/>
              <w:ind w:firstLine="38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«Отбасы банк» </w:t>
            </w:r>
            <w:r w:rsidR="001512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Pr="003C5F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ұрғын үй құрылыс жинақ банкі» </w:t>
            </w:r>
            <w:r w:rsidR="003C5F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акционерлік қоғамы (бұдан әрі – Банк)</w:t>
            </w:r>
            <w:r w:rsidRPr="003C5F88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3C5F88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(келісім</w:t>
            </w:r>
            <w:r w:rsidR="00412C88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 xml:space="preserve"> бойынша</w:t>
            </w:r>
            <w:r w:rsidRPr="003C5F88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)</w:t>
            </w:r>
          </w:p>
        </w:tc>
      </w:tr>
      <w:tr w:rsidR="00CC0177" w:rsidRPr="00E96D60" w14:paraId="1EE1745B" w14:textId="77777777" w:rsidTr="00613BAF">
        <w:tc>
          <w:tcPr>
            <w:tcW w:w="3227" w:type="dxa"/>
          </w:tcPr>
          <w:p w14:paraId="6E0C1365" w14:textId="77777777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Бағдарламаның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6626" w:type="dxa"/>
          </w:tcPr>
          <w:p w14:paraId="605102B3" w14:textId="77777777" w:rsidR="00CC0177" w:rsidRPr="003C5F88" w:rsidRDefault="00CC0177" w:rsidP="003C5F88">
            <w:pPr>
              <w:spacing w:after="200"/>
              <w:ind w:firstLine="38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Өңір жастарын қолжетімді тұрғын үймен қамтамасыз ету және</w:t>
            </w:r>
            <w:r w:rsidR="00081DE3"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 отбасыларға қолдау көрсету</w:t>
            </w:r>
          </w:p>
        </w:tc>
      </w:tr>
      <w:tr w:rsidR="00CC0177" w:rsidRPr="00E96D60" w14:paraId="2C5E43B0" w14:textId="77777777" w:rsidTr="00613BAF">
        <w:tc>
          <w:tcPr>
            <w:tcW w:w="3227" w:type="dxa"/>
          </w:tcPr>
          <w:p w14:paraId="4A398D0B" w14:textId="77777777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Бағдарламаның міндеті</w:t>
            </w:r>
          </w:p>
        </w:tc>
        <w:tc>
          <w:tcPr>
            <w:tcW w:w="6626" w:type="dxa"/>
          </w:tcPr>
          <w:p w14:paraId="49BFD115" w14:textId="77777777" w:rsidR="003C5F88" w:rsidRDefault="003C5F88" w:rsidP="003C5F88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38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="00CC0177" w:rsidRPr="00CC017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ұмыс істейтін жастар үшін тұрғын үйге қолжетімділігі мен жайлылығын арттыру</w:t>
            </w:r>
            <w:r w:rsidR="00CD75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34DAD566" w14:textId="6578F726" w:rsidR="00CC0177" w:rsidRDefault="003C5F88" w:rsidP="003C5F88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38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="00CC0177" w:rsidRPr="003C5F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астарды тұрғын үймен қамтудың нысаналы индикаторын қалыптастырып, қаржыландырудың барлық көздері есебінен тұрғын үйді жыл сайынғы іске қосу көлемін ұлғайту</w:t>
            </w:r>
            <w:r w:rsidR="00412C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4A940A5C" w14:textId="6CAE5241" w:rsidR="00F6171A" w:rsidRPr="003C5F88" w:rsidRDefault="00F6171A" w:rsidP="003C5F88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38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1" w:name="_Hlk141651949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қолжетімді тұрғын үй бағдарламасын ұсыну арқылы өңірдің еңбек нарығында сұранысқа ие жас мамандарды ынталандыру</w:t>
            </w:r>
            <w:bookmarkEnd w:id="1"/>
            <w:r w:rsidR="00412C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C0177" w:rsidRPr="00A469D1" w14:paraId="4DD724A6" w14:textId="77777777" w:rsidTr="00613BAF">
        <w:tc>
          <w:tcPr>
            <w:tcW w:w="3227" w:type="dxa"/>
          </w:tcPr>
          <w:p w14:paraId="37578FBA" w14:textId="77777777" w:rsidR="00CC0177" w:rsidRPr="003C5F88" w:rsidRDefault="00CC0177" w:rsidP="00CC0177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Қаржыландыру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көздері</w:t>
            </w:r>
            <w:proofErr w:type="spellEnd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мен </w:t>
            </w:r>
            <w:proofErr w:type="spellStart"/>
            <w:r w:rsidRPr="003C5F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көлемі</w:t>
            </w:r>
            <w:proofErr w:type="spellEnd"/>
          </w:p>
        </w:tc>
        <w:tc>
          <w:tcPr>
            <w:tcW w:w="6626" w:type="dxa"/>
          </w:tcPr>
          <w:p w14:paraId="4F1759A6" w14:textId="43C32AB1" w:rsidR="00CC0177" w:rsidRPr="00613BAF" w:rsidRDefault="00613BAF" w:rsidP="00613B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C5F88" w:rsidRPr="00613B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="00CC0177" w:rsidRPr="00613B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ергілікті бюджет қаражаты есебінен</w:t>
            </w:r>
            <w:r w:rsidR="00412C88" w:rsidRPr="00613B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6E84F86A" w14:textId="77777777" w:rsidR="0057069D" w:rsidRPr="00CC0177" w:rsidRDefault="0057069D" w:rsidP="00E9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07C6556" w14:textId="16CC08B6" w:rsidR="00CC0177" w:rsidRPr="00C21EB2" w:rsidRDefault="00CC0177" w:rsidP="00C21EB2">
      <w:pPr>
        <w:pStyle w:val="a5"/>
        <w:numPr>
          <w:ilvl w:val="0"/>
          <w:numId w:val="14"/>
        </w:numPr>
        <w:pBdr>
          <w:bottom w:val="single" w:sz="4" w:space="19" w:color="FFFFFF"/>
        </w:pBdr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21E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БАҒДАРЛАМАНЫҢ МАҚСАТЫ МЕН МІНДЕТТЕРІ</w:t>
      </w:r>
    </w:p>
    <w:p w14:paraId="77861AE0" w14:textId="27080A0F" w:rsidR="00CC0177" w:rsidRDefault="00CC0177" w:rsidP="008E0B7F">
      <w:pPr>
        <w:spacing w:after="0" w:line="240" w:lineRule="auto"/>
        <w:ind w:left="1" w:firstLine="56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1E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Мақсаты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</w:t>
      </w:r>
      <w:r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өңір жастарын қолжетімді тұрғын үймен қамтамасыз ету және жас отбасыларға қолдау көрсету. </w:t>
      </w:r>
    </w:p>
    <w:p w14:paraId="7A76AC86" w14:textId="77777777" w:rsidR="008E0B7F" w:rsidRPr="008E0B7F" w:rsidRDefault="008E0B7F" w:rsidP="008E0B7F">
      <w:pPr>
        <w:spacing w:after="0" w:line="240" w:lineRule="auto"/>
        <w:ind w:left="1" w:firstLine="56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0FCA949" w14:textId="3BB6C23A" w:rsidR="00E62441" w:rsidRPr="00C21EB2" w:rsidRDefault="00CC0177" w:rsidP="0069286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21E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Міндеттері: </w:t>
      </w:r>
    </w:p>
    <w:p w14:paraId="2599E4B9" w14:textId="5411374C" w:rsidR="00CC0177" w:rsidRPr="00CC0177" w:rsidRDefault="0027527D" w:rsidP="00F6171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C0177" w:rsidRPr="00CC0177">
        <w:rPr>
          <w:rFonts w:ascii="Times New Roman" w:eastAsia="Calibri" w:hAnsi="Times New Roman" w:cs="Times New Roman"/>
          <w:sz w:val="28"/>
          <w:szCs w:val="28"/>
          <w:lang w:val="kk-KZ"/>
        </w:rPr>
        <w:t>Жұмыс істейтін жастар үшін тұрғын үйге қолжетімділігі мен жайлылығын арттыру;</w:t>
      </w:r>
    </w:p>
    <w:p w14:paraId="1C7A8C0A" w14:textId="42D2AB72" w:rsidR="00A469D1" w:rsidRPr="008E0B7F" w:rsidRDefault="0027527D" w:rsidP="00A469D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21EB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CC0177" w:rsidRPr="00CC0177">
        <w:rPr>
          <w:rFonts w:ascii="Times New Roman" w:eastAsia="Calibri" w:hAnsi="Times New Roman" w:cs="Times New Roman"/>
          <w:sz w:val="28"/>
          <w:szCs w:val="28"/>
          <w:lang w:val="kk-KZ"/>
        </w:rPr>
        <w:t>ұрғын үй құрылысын ынталандырудың жаңа тәсілдерін әзірлеу және оған қолданыстағы бағдарламалардағы тұрғын үй мәселелерін интеграциялау;</w:t>
      </w:r>
    </w:p>
    <w:p w14:paraId="26381368" w14:textId="13E50583" w:rsidR="00CC0177" w:rsidRDefault="0027527D" w:rsidP="00E6244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6171A" w:rsidRPr="00F617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қолжетімді тұрғын үй бағдарламасын ұсыну арқылы өңірдің еңбек нарығында сұранысқа ие жас мамандарды ынталандыру </w:t>
      </w:r>
      <w:r w:rsidR="00C21EB2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r w:rsidR="00CC0177" w:rsidRPr="00CC0177">
        <w:rPr>
          <w:rFonts w:ascii="Times New Roman" w:eastAsia="Calibri" w:hAnsi="Times New Roman" w:cs="Times New Roman"/>
          <w:sz w:val="28"/>
          <w:szCs w:val="28"/>
          <w:lang w:val="kk-KZ"/>
        </w:rPr>
        <w:t>астарды тұрғын үймен қамтудың нысаналы индикаторын қалыптастырып, қаржыландырудың барлық көздері есебінен тұрғын үйді жыл сайынғы іске қосу көлемін ұлғайту.</w:t>
      </w:r>
    </w:p>
    <w:p w14:paraId="52BA35FD" w14:textId="00DDA906" w:rsidR="00E62441" w:rsidRPr="00E62441" w:rsidRDefault="00E62441" w:rsidP="00E6244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04D4E3A" w14:textId="356993EC" w:rsidR="00CC0177" w:rsidRPr="00C21EB2" w:rsidRDefault="00CC0177" w:rsidP="00C21EB2">
      <w:pPr>
        <w:pStyle w:val="a5"/>
        <w:numPr>
          <w:ilvl w:val="0"/>
          <w:numId w:val="14"/>
        </w:numPr>
        <w:pBdr>
          <w:bottom w:val="single" w:sz="4" w:space="19" w:color="FFFFFF"/>
        </w:pBdr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21E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БАҒДАРЛАМАНЫҢ ШАРТТАРЫ МЕН ТАЛАПТАРЫ</w:t>
      </w:r>
    </w:p>
    <w:p w14:paraId="40BEF1EB" w14:textId="77777777" w:rsidR="00CC0177" w:rsidRPr="00CC0177" w:rsidRDefault="00CC0177" w:rsidP="00CC0177">
      <w:pPr>
        <w:pBdr>
          <w:bottom w:val="single" w:sz="4" w:space="19" w:color="FFFFFF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8539EF5" w14:textId="6543B4AD" w:rsidR="002F39EC" w:rsidRDefault="00CC0177" w:rsidP="002F39EC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21E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ағдарлама</w:t>
      </w:r>
      <w:r w:rsidR="00C21E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шарттары:</w:t>
      </w:r>
    </w:p>
    <w:p w14:paraId="3B060DFF" w14:textId="77777777" w:rsidR="002F39EC" w:rsidRDefault="002F39EC" w:rsidP="002F39EC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253C62D" w14:textId="77777777" w:rsidR="002F39EC" w:rsidRPr="002F39EC" w:rsidRDefault="00CC0177" w:rsidP="002F39EC">
      <w:pPr>
        <w:pStyle w:val="a5"/>
        <w:numPr>
          <w:ilvl w:val="0"/>
          <w:numId w:val="3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hAnsi="Times New Roman" w:cs="Times New Roman"/>
          <w:sz w:val="28"/>
          <w:szCs w:val="28"/>
          <w:lang w:val="kk-KZ" w:eastAsia="ru-RU"/>
        </w:rPr>
        <w:t>Қарыздың ең жоғары сомасы</w:t>
      </w:r>
    </w:p>
    <w:p w14:paraId="12E6A4B0" w14:textId="77777777" w:rsidR="002F39EC" w:rsidRPr="00C21EB2" w:rsidRDefault="00CC0177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21EB2">
        <w:rPr>
          <w:rFonts w:ascii="Times New Roman" w:hAnsi="Times New Roman" w:cs="Times New Roman"/>
          <w:sz w:val="24"/>
          <w:szCs w:val="28"/>
          <w:lang w:val="kk-KZ" w:eastAsia="ru-RU"/>
        </w:rPr>
        <w:t>Ақтау қаласы үшін – 15 млн теңгеге дейін;</w:t>
      </w:r>
    </w:p>
    <w:p w14:paraId="35489CA0" w14:textId="77777777" w:rsidR="002F39EC" w:rsidRPr="00C21EB2" w:rsidRDefault="00CC0177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21EB2">
        <w:rPr>
          <w:rFonts w:ascii="Times New Roman" w:hAnsi="Times New Roman" w:cs="Times New Roman"/>
          <w:sz w:val="24"/>
          <w:szCs w:val="28"/>
          <w:lang w:val="kk-KZ" w:eastAsia="ru-RU"/>
        </w:rPr>
        <w:t>Қалған қала/аудандар үшін – 10 млн теңгеге</w:t>
      </w:r>
      <w:r w:rsidR="002F39EC" w:rsidRPr="00C21EB2">
        <w:rPr>
          <w:rFonts w:ascii="Times New Roman" w:hAnsi="Times New Roman" w:cs="Times New Roman"/>
          <w:sz w:val="24"/>
          <w:szCs w:val="28"/>
          <w:lang w:val="kk-KZ" w:eastAsia="ru-RU"/>
        </w:rPr>
        <w:t xml:space="preserve"> дейін;</w:t>
      </w:r>
    </w:p>
    <w:p w14:paraId="3DAD71CE" w14:textId="5E2F566A" w:rsidR="002F39EC" w:rsidRPr="002F39EC" w:rsidRDefault="00A469D1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редит беру уақыты – 20 жылға дейін</w:t>
      </w:r>
      <w:r w:rsidR="002F39EC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41F3B0D8" w14:textId="47D03D5E" w:rsidR="002F39EC" w:rsidRPr="002F39EC" w:rsidRDefault="00A469D1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айыздық мөлшерлеме –</w:t>
      </w:r>
      <w:r w:rsidR="002F39EC" w:rsidRPr="002F39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5%;</w:t>
      </w:r>
    </w:p>
    <w:p w14:paraId="3CD43379" w14:textId="14BC8212" w:rsidR="002F39EC" w:rsidRPr="002F39EC" w:rsidRDefault="00A469D1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астапқы жарна – 10 %;</w:t>
      </w:r>
    </w:p>
    <w:p w14:paraId="33C77D1A" w14:textId="2AE249D5" w:rsidR="002F39EC" w:rsidRPr="002F39EC" w:rsidRDefault="00A469D1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астапқы және қайталама тұрғын үй алу мүмкіндігі;</w:t>
      </w:r>
    </w:p>
    <w:p w14:paraId="0717279D" w14:textId="16C0EA46" w:rsidR="002F39EC" w:rsidRPr="002F39EC" w:rsidRDefault="00A469D1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амту – 4</w:t>
      </w:r>
      <w:r w:rsidR="004B5DC1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адамнан </w:t>
      </w:r>
      <w:r w:rsidR="004B5DC1">
        <w:rPr>
          <w:rFonts w:ascii="Times New Roman" w:hAnsi="Times New Roman" w:cs="Times New Roman"/>
          <w:sz w:val="28"/>
          <w:szCs w:val="28"/>
          <w:lang w:val="kk-KZ" w:eastAsia="ru-RU"/>
        </w:rPr>
        <w:t>кем емес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1E576B5C" w14:textId="31894AF7" w:rsidR="002F39EC" w:rsidRPr="002F39EC" w:rsidRDefault="00A469D1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ағдарламаны жүзеге асыру мерзімі – 2023 жыл</w:t>
      </w:r>
      <w:r w:rsidR="002F39EC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1ABE5A2D" w14:textId="77777777" w:rsidR="002F39EC" w:rsidRDefault="002F39EC" w:rsidP="002F39EC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jc w:val="both"/>
        <w:rPr>
          <w:lang w:val="kk-KZ" w:eastAsia="ru-RU"/>
        </w:rPr>
      </w:pPr>
    </w:p>
    <w:p w14:paraId="13963B34" w14:textId="77777777" w:rsidR="002F39EC" w:rsidRPr="002F39EC" w:rsidRDefault="00CC0177" w:rsidP="002F39EC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F39E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Бағдарлама бойынша бөлініс: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46"/>
        <w:gridCol w:w="3184"/>
      </w:tblGrid>
      <w:tr w:rsidR="00CC0177" w14:paraId="4637EE16" w14:textId="77777777" w:rsidTr="002F39EC">
        <w:tc>
          <w:tcPr>
            <w:tcW w:w="498" w:type="dxa"/>
            <w:vAlign w:val="center"/>
          </w:tcPr>
          <w:p w14:paraId="0569FEFA" w14:textId="77777777" w:rsidR="00CC0177" w:rsidRPr="00C21EB2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21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946" w:type="dxa"/>
            <w:vAlign w:val="center"/>
          </w:tcPr>
          <w:p w14:paraId="4E67826E" w14:textId="77777777" w:rsidR="00CC0177" w:rsidRPr="00C21EB2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21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Атауы</w:t>
            </w:r>
          </w:p>
        </w:tc>
        <w:tc>
          <w:tcPr>
            <w:tcW w:w="3184" w:type="dxa"/>
            <w:vAlign w:val="center"/>
          </w:tcPr>
          <w:p w14:paraId="740385FB" w14:textId="5F3C613D" w:rsidR="00CC0177" w:rsidRPr="00C21EB2" w:rsidRDefault="00C21EB2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21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Қатысушылар саны</w:t>
            </w:r>
          </w:p>
        </w:tc>
      </w:tr>
      <w:tr w:rsidR="00CC0177" w14:paraId="2390B540" w14:textId="77777777" w:rsidTr="002F39EC">
        <w:tc>
          <w:tcPr>
            <w:tcW w:w="498" w:type="dxa"/>
          </w:tcPr>
          <w:p w14:paraId="6AB59E3A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</w:tcPr>
          <w:p w14:paraId="548407E9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Ақтау</w:t>
            </w:r>
            <w:proofErr w:type="spellEnd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</w:t>
            </w:r>
            <w:proofErr w:type="spellEnd"/>
          </w:p>
        </w:tc>
        <w:tc>
          <w:tcPr>
            <w:tcW w:w="3184" w:type="dxa"/>
          </w:tcPr>
          <w:p w14:paraId="6830649C" w14:textId="1A5A7C6D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4B5DC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</w:tr>
      <w:tr w:rsidR="00CC0177" w14:paraId="0F6259EC" w14:textId="77777777" w:rsidTr="002F39EC">
        <w:tc>
          <w:tcPr>
            <w:tcW w:w="498" w:type="dxa"/>
          </w:tcPr>
          <w:p w14:paraId="01862668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</w:tcPr>
          <w:p w14:paraId="127C0235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Жаңаөзен</w:t>
            </w:r>
            <w:proofErr w:type="spellEnd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</w:t>
            </w:r>
            <w:proofErr w:type="spellEnd"/>
          </w:p>
        </w:tc>
        <w:tc>
          <w:tcPr>
            <w:tcW w:w="3184" w:type="dxa"/>
          </w:tcPr>
          <w:p w14:paraId="3A6D54FE" w14:textId="4697AAED" w:rsidR="00CC0177" w:rsidRPr="00407CE9" w:rsidRDefault="004B5DC1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CC0177" w14:paraId="1824FD55" w14:textId="77777777" w:rsidTr="002F39EC">
        <w:tc>
          <w:tcPr>
            <w:tcW w:w="498" w:type="dxa"/>
          </w:tcPr>
          <w:p w14:paraId="4B207306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6" w:type="dxa"/>
          </w:tcPr>
          <w:p w14:paraId="36E9812D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Бейнеу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3184" w:type="dxa"/>
          </w:tcPr>
          <w:p w14:paraId="370D6694" w14:textId="2629414A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CC0177" w14:paraId="679BBBAF" w14:textId="77777777" w:rsidTr="002F39EC">
        <w:tc>
          <w:tcPr>
            <w:tcW w:w="498" w:type="dxa"/>
          </w:tcPr>
          <w:p w14:paraId="5E1756E1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6" w:type="dxa"/>
          </w:tcPr>
          <w:p w14:paraId="406CEE00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Маңғыстау</w:t>
            </w:r>
            <w:proofErr w:type="spellEnd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3184" w:type="dxa"/>
          </w:tcPr>
          <w:p w14:paraId="2DF33DEF" w14:textId="17BA8901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C0177" w14:paraId="59E84C68" w14:textId="77777777" w:rsidTr="002F39EC">
        <w:tc>
          <w:tcPr>
            <w:tcW w:w="498" w:type="dxa"/>
          </w:tcPr>
          <w:p w14:paraId="5C7C1BD0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6" w:type="dxa"/>
          </w:tcPr>
          <w:p w14:paraId="2043E257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Түпқараған</w:t>
            </w:r>
            <w:proofErr w:type="spellEnd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3184" w:type="dxa"/>
          </w:tcPr>
          <w:p w14:paraId="674EED08" w14:textId="6A26AC06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C0177" w14:paraId="499D1308" w14:textId="77777777" w:rsidTr="002F39EC">
        <w:tc>
          <w:tcPr>
            <w:tcW w:w="498" w:type="dxa"/>
          </w:tcPr>
          <w:p w14:paraId="3FC81F54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6" w:type="dxa"/>
          </w:tcPr>
          <w:p w14:paraId="7B66A26B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Қарақия</w:t>
            </w:r>
            <w:proofErr w:type="spellEnd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3184" w:type="dxa"/>
          </w:tcPr>
          <w:p w14:paraId="2B71D8F6" w14:textId="68A25904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C0177" w14:paraId="3489D93A" w14:textId="77777777" w:rsidTr="002F39EC">
        <w:tc>
          <w:tcPr>
            <w:tcW w:w="498" w:type="dxa"/>
          </w:tcPr>
          <w:p w14:paraId="29F0068E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6" w:type="dxa"/>
          </w:tcPr>
          <w:p w14:paraId="78383798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Мұнайлы</w:t>
            </w:r>
            <w:proofErr w:type="spellEnd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3184" w:type="dxa"/>
          </w:tcPr>
          <w:p w14:paraId="1FB9C366" w14:textId="50B88E2B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</w:tr>
      <w:tr w:rsidR="00CC0177" w14:paraId="65B5A8C5" w14:textId="77777777" w:rsidTr="002F39EC">
        <w:tc>
          <w:tcPr>
            <w:tcW w:w="498" w:type="dxa"/>
          </w:tcPr>
          <w:p w14:paraId="275F5040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946" w:type="dxa"/>
          </w:tcPr>
          <w:p w14:paraId="0E967A59" w14:textId="77777777" w:rsidR="00CC0177" w:rsidRPr="00CC0177" w:rsidRDefault="00CC0177" w:rsidP="00CC01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3184" w:type="dxa"/>
          </w:tcPr>
          <w:p w14:paraId="3DE06CAB" w14:textId="67BF0DFC" w:rsidR="00CC0177" w:rsidRPr="00407CE9" w:rsidRDefault="00407CE9" w:rsidP="00CC0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07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  <w:r w:rsidR="004B5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2F39EC" w14:paraId="18F83C45" w14:textId="77777777" w:rsidTr="002F39EC">
        <w:trPr>
          <w:trHeight w:val="699"/>
        </w:trPr>
        <w:tc>
          <w:tcPr>
            <w:tcW w:w="9628" w:type="dxa"/>
            <w:gridSpan w:val="3"/>
          </w:tcPr>
          <w:p w14:paraId="051886CE" w14:textId="1368B4D5" w:rsidR="002F39EC" w:rsidRPr="002F39EC" w:rsidRDefault="002F39EC" w:rsidP="002F39EC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2F39EC">
              <w:rPr>
                <w:rFonts w:ascii="Times New Roman" w:hAnsi="Times New Roman" w:cs="Times New Roman"/>
                <w:sz w:val="28"/>
                <w:lang w:val="kk-KZ" w:eastAsia="ru-RU"/>
              </w:rPr>
              <w:t>Егерде тұрғын үй саны көрсетілген межеден (4</w:t>
            </w:r>
            <w:r w:rsidR="004B5DC1">
              <w:rPr>
                <w:rFonts w:ascii="Times New Roman" w:hAnsi="Times New Roman" w:cs="Times New Roman"/>
                <w:sz w:val="28"/>
                <w:lang w:val="kk-KZ" w:eastAsia="ru-RU"/>
              </w:rPr>
              <w:t>2</w:t>
            </w:r>
            <w:r w:rsidRPr="002F39EC">
              <w:rPr>
                <w:rFonts w:ascii="Times New Roman" w:hAnsi="Times New Roman" w:cs="Times New Roman"/>
                <w:sz w:val="28"/>
                <w:lang w:val="kk-KZ" w:eastAsia="ru-RU"/>
              </w:rPr>
              <w:t>) асып кеткен жағдайда артылған тұрғын үйлер Ақтау қаласының бөлінісіне қосылады</w:t>
            </w:r>
          </w:p>
        </w:tc>
      </w:tr>
    </w:tbl>
    <w:p w14:paraId="1DEB9196" w14:textId="77777777" w:rsidR="003C34FB" w:rsidRDefault="003C34FB" w:rsidP="003C34FB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CD5B9" w14:textId="586E7910" w:rsidR="00CC0177" w:rsidRPr="00CC0177" w:rsidRDefault="0071042D" w:rsidP="003C34FB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Бағдарлама әкімшісі – </w:t>
      </w: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CC0177" w:rsidRPr="008B68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Маңғыстау</w:t>
      </w:r>
      <w:r w:rsidR="00CC0177" w:rsidRPr="008B68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облысының жастар саясаты мәселелері жөніндегі басқармасы</w:t>
      </w: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мемлекеттік мекемесі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Маңғыстау облысының тұрғындарын бағдарламаға қатысуға өтініштерді қабылдаудың басталғаны туралы хабардар етеді және 14 (он төрт) күнтізбелік күн ішінде өтінішті </w:t>
      </w:r>
      <w:hyperlink r:id="rId7" w:history="1">
        <w:r w:rsidR="00CC0177" w:rsidRPr="00CC01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www.mangystauzhastary.kz</w:t>
        </w:r>
      </w:hyperlink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сайтында электронды түрде </w:t>
      </w:r>
      <w:r w:rsidR="00CD7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қабылдайды. Бұдан әрі </w:t>
      </w:r>
      <w:r w:rsid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бағдарламаға қатысушыларды іріктеу жөніндегі комиссия 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өтініштерді қабылдау аяқталған күннен бастап 14 (он төрт) күнтізбелік күн ішінде 7</w:t>
      </w:r>
      <w:r w:rsid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-тарауда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көрсетілген </w:t>
      </w:r>
      <w:r w:rsidR="00CD7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баллдарды есептеу</w:t>
      </w:r>
      <w:r w:rsid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тәртібі бойынша іріктеу</w:t>
      </w:r>
      <w:r w:rsidR="00CD7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жүргізеді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жолдамалар береді, қатысушылардың сәйк</w:t>
      </w:r>
      <w:r w:rsid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естігін тексереді, аталған </w:t>
      </w:r>
      <w:r w:rsidR="00412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бағдарламаның 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2-тармағында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белгіленген талаптарға сәйкес жолдама алғандардың тізімін (қатысушының </w:t>
      </w:r>
      <w:r w:rsidR="0027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тегі, 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аты-жөні, </w:t>
      </w:r>
      <w:r w:rsidR="0027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сәйкестендіру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4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нөмі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рі, байланыс нө</w:t>
      </w:r>
      <w:r w:rsidR="00404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рі) банкке жібереді.</w:t>
      </w:r>
    </w:p>
    <w:p w14:paraId="010FC598" w14:textId="77777777" w:rsidR="00CC0177" w:rsidRPr="008B6831" w:rsidRDefault="00CC0177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Егерде қатысушы есептелген балл қорытындысымен келіспеген жағдайда комиссия отырысынан кейін 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 жұмыс күн ішінде апелляцияға бере алады. Апелляция 7 жұмыс күнінде қаралады.</w:t>
      </w:r>
    </w:p>
    <w:p w14:paraId="551C1236" w14:textId="77777777" w:rsidR="0071042D" w:rsidRPr="00CC0177" w:rsidRDefault="0071042D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B382D96" w14:textId="713CF963" w:rsidR="0071042D" w:rsidRPr="003C34FB" w:rsidRDefault="00CC0177" w:rsidP="003C34FB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5.2</w:t>
      </w:r>
      <w:r w:rsidR="007104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104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Бағдарлама қатысушыларына қойылатын талаптар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053993EF" w14:textId="0D5BFA9A" w:rsidR="008A24D7" w:rsidRPr="008A24D7" w:rsidRDefault="00CC0177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 қатысушысы және оның отбасы мүшелері 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 Республикасы</w:t>
      </w:r>
      <w:r w:rsidR="003C34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ның 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азамат</w:t>
      </w:r>
      <w:r w:rsidR="003C34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болуы</w:t>
      </w:r>
      <w:r w:rsidR="003C34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тиіс</w:t>
      </w:r>
      <w:r w:rsidRPr="008A24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="0027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 w:rsidR="00081D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аумағында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соңғы 5 (бес) жыл ішінде сатып алу құқығымен жалға берілетін тұрғын үй</w:t>
      </w:r>
      <w:r w:rsidR="004F63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меншік құқығындағы тұрғын үй</w:t>
      </w:r>
      <w:r w:rsidR="004F63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болмауы</w:t>
      </w:r>
      <w:r w:rsidR="003C34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қажет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14:paraId="0CECF365" w14:textId="4A627CCB" w:rsidR="00CC0177" w:rsidRPr="008A24D7" w:rsidRDefault="008B6831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«Мемлекеттік жастар саясаты туралы» Қазақстан Республикасы Заңына сәйке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ө</w:t>
      </w:r>
      <w:r w:rsidR="00CC0177"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тініш беру кезінде</w:t>
      </w:r>
      <w:r w:rsidR="00CC0177" w:rsidRPr="008A24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C0177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қатысушының (жұбайын</w:t>
      </w:r>
      <w:r w:rsidR="00CF5909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қоса алғанда) жасы 1</w:t>
      </w:r>
      <w:r w:rsidR="00E96D6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8 </w:t>
      </w:r>
      <w:r w:rsidR="00CF5909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жастан 35</w:t>
      </w:r>
      <w:r w:rsidR="00CC0177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жасқа дейін (қоса алғанда) болуы тиіс. Бағдарламаға негізгі қатысушы ретінде тек ерлі-зайыптылардың біреуі ғана</w:t>
      </w:r>
      <w:r w:rsidR="00CC0177"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қатыса алады;</w:t>
      </w:r>
    </w:p>
    <w:p w14:paraId="79422CAD" w14:textId="77777777" w:rsidR="00CC0177" w:rsidRPr="008A24D7" w:rsidRDefault="00CC0177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Қатысушының Маңғыстау облысында соңғы </w:t>
      </w:r>
      <w:r w:rsidRPr="008E0B7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 жыл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ішінде тұрақты тіркеуінің болуы,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сонымен бірге өтініш беру кезінде, онымен бірге тұратын отбасы мүшелерінің </w:t>
      </w:r>
      <w:r w:rsidRPr="00412C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(жұбайы (зайыбы), кәмелетке толмаған балалары және т.б.)</w:t>
      </w:r>
      <w:r w:rsidRPr="008A24D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8A2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Маңғыстау облысында тұрақты тіркеуі болуы тиіс;</w:t>
      </w:r>
    </w:p>
    <w:p w14:paraId="7AB8D185" w14:textId="77777777" w:rsidR="00CC0177" w:rsidRPr="008B6831" w:rsidRDefault="00CC0177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Отбасының 1 мүшесіне шаққандағы соңғы 6 айдағы табыс міндетті аударымдарды шегергенде 150 098 теңгеден (ең төменгі күнкөріс деңгейі 3,7 бағдарлама коэф</w:t>
      </w:r>
      <w:r w:rsidR="00081DE3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иц</w:t>
      </w:r>
      <w:r w:rsidR="00081DE3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ентіне көбейтіледі) </w:t>
      </w:r>
      <w:r w:rsidRPr="00412C8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(1 ЕТКД – 40 567 теңге)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аспауға тиіс;</w:t>
      </w:r>
    </w:p>
    <w:p w14:paraId="1F4AD214" w14:textId="3450D310" w:rsidR="00CC0177" w:rsidRPr="008B6831" w:rsidRDefault="008A24D7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Қатысушының </w:t>
      </w:r>
      <w:r w:rsidR="004346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төменде көрсетілген салалар бойынша 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ресми жұмыс өтілі (</w:t>
      </w:r>
      <w:r w:rsidR="00412C88" w:rsidRPr="00412C8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міндетті зейнетақы аударымдарының болуымен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) Маңғыстау облысында кемінде соңғы </w:t>
      </w:r>
      <w:r w:rsidR="00081DE3"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 жыл</w:t>
      </w:r>
      <w:r w:rsidRPr="008B68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болуы тиіс;</w:t>
      </w:r>
    </w:p>
    <w:p w14:paraId="146A1F5C" w14:textId="29DD7BBA" w:rsidR="00CC0177" w:rsidRPr="008B6831" w:rsidRDefault="00CC0177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Қатысушы </w:t>
      </w:r>
      <w:r w:rsid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аталған бағдарлама аясында </w:t>
      </w:r>
      <w:r w:rsidR="004346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сатып алатын </w:t>
      </w: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тұрғын үйді т</w:t>
      </w:r>
      <w:r w:rsidR="004346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іркелген</w:t>
      </w: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мекенжайы</w:t>
      </w:r>
      <w:r w:rsid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ғана ал</w:t>
      </w:r>
      <w:r w:rsidR="00613B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алады</w:t>
      </w:r>
      <w:r w:rsidRPr="008B6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7795D8A" w14:textId="77777777" w:rsidR="008A24D7" w:rsidRDefault="008A24D7" w:rsidP="008A24D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360658FD" w14:textId="5D1B6A7C" w:rsidR="00CC0177" w:rsidRDefault="00CC0177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8240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Бағдарламаға қатыса алатын жастар санаты:</w:t>
      </w:r>
    </w:p>
    <w:p w14:paraId="7FD0FBBF" w14:textId="77777777" w:rsidR="007764FA" w:rsidRDefault="007764FA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04FA9FB" w14:textId="181A4AD3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B6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Денсаулық сақтау саласының қызметкерлер</w:t>
      </w:r>
      <w:r w:rsidRPr="008B6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і,</w:t>
      </w:r>
      <w:r w:rsidRPr="00776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атап айтқанда</w:t>
      </w:r>
      <w:r w:rsidR="008E4827" w:rsidRPr="008E48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</w:t>
      </w:r>
      <w:r w:rsidR="00CF59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иісті жоғары және арнаулы орта</w:t>
      </w:r>
      <w:r w:rsidR="008E4827"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білімі бар, </w:t>
      </w:r>
      <w:r w:rsidR="00412C88" w:rsidRP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Маңғыстау облысындағы мемлекеттік </w:t>
      </w:r>
      <w:r w:rsid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денсаулық сақтау </w:t>
      </w:r>
      <w:r w:rsidR="00412C88" w:rsidRP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ұйымының </w:t>
      </w:r>
      <w:r w:rsid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медицина </w:t>
      </w:r>
      <w:r w:rsidR="00412C88" w:rsidRP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қызметкерлері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3B38F426" w14:textId="1EC0E350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Білім және ғылым саласының қызметкерлері,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атап айтқанда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Start w:id="2" w:name="_Hlk141692368"/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тиісті жоғары </w:t>
      </w:r>
      <w:r w:rsidR="00CF59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және арнаулы орта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білімі бар</w:t>
      </w:r>
      <w:r w:rsidRPr="008E48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A6D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Маңғыстау облысындағы</w:t>
      </w:r>
      <w:r w:rsidR="002A6DFE"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A6D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 беру </w:t>
      </w:r>
      <w:r w:rsidR="002A6D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ұйымының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 қызметкерлері</w:t>
      </w:r>
      <w:r w:rsidR="002A6D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End w:id="2"/>
      <w:r w:rsidR="002A6D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және </w:t>
      </w:r>
      <w:r w:rsidR="003C34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100% қатысатын жоғары </w:t>
      </w:r>
      <w:r w:rsidR="003C34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 беру ұйымдарының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оқытушылары мен ғылыми қызметкерлері;</w:t>
      </w:r>
    </w:p>
    <w:p w14:paraId="12FB3A49" w14:textId="1E0627BF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Мәдениет саласының қызметкерлері, атап айтқанда, </w:t>
      </w:r>
      <w:r w:rsidR="00D67774" w:rsidRPr="003C34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Маңғыстау облысында </w:t>
      </w: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орналасқан </w:t>
      </w:r>
      <w:r w:rsidR="00CF5909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мәдениет саласындағы </w:t>
      </w:r>
      <w:bookmarkStart w:id="3" w:name="_Hlk141650463"/>
      <w:r w:rsidR="00CF5909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мемлекеттік және квазимемлекеттік </w:t>
      </w:r>
      <w:r w:rsidR="003C34FB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ұйым </w:t>
      </w:r>
      <w:r w:rsidR="00CF5909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қызметкерлер</w:t>
      </w:r>
      <w:r w:rsidR="003C34FB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і</w:t>
      </w:r>
      <w:bookmarkEnd w:id="3"/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4AF7CC40" w14:textId="11094B9D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Ауылшаруашылық саласының қызметкерлері, атап айтқанда, </w:t>
      </w:r>
      <w:r w:rsidR="00D67774" w:rsidRPr="003C34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Маңғыстау облысында </w:t>
      </w: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орналасқан мемлекеттік ауылшаруашылық ұйымдарының бейінді қызметкерлері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1F6382E7" w14:textId="3D9672CE" w:rsidR="007764FA" w:rsidRPr="003C34FB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Спорт және дене шынықтыру саласының қызметкерлері, атап айтқанда</w:t>
      </w:r>
      <w:r w:rsidR="00D67774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</w:t>
      </w: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D67774" w:rsidRPr="003C34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Маңғыстау облысында </w:t>
      </w: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орналасқан </w:t>
      </w:r>
      <w:r w:rsidR="00CF5909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спорт және дене шынықтыру саласындағы </w:t>
      </w:r>
      <w:r w:rsidR="003C34FB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мемлекеттік және квазимемлекеттік ұйым қызметкерлері</w:t>
      </w:r>
      <w:r w:rsidR="00CF5909"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;</w:t>
      </w:r>
    </w:p>
    <w:p w14:paraId="1BE90DCE" w14:textId="66BD480A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4" w:name="_Hlk141692465"/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</w:t>
      </w:r>
      <w:r w:rsidR="00412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ұқаралық ақпарат құралдары</w:t>
      </w:r>
      <w:bookmarkEnd w:id="4"/>
      <w:r w:rsidR="00412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ның</w:t>
      </w:r>
      <w:r w:rsidRPr="003C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және ақпарат саласының қызметкерлері,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атап айтқанда</w:t>
      </w:r>
      <w:r w:rsidR="00D677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тікелей бейіндік қызметпен айналысатын мемлекет </w:t>
      </w:r>
      <w:r w:rsid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100% қатысатын</w:t>
      </w:r>
      <w:r w:rsidR="001B56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ұйымдардың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журналист</w:t>
      </w:r>
      <w:r w:rsidR="00D059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  <w:r w:rsidR="001B56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мен </w:t>
      </w:r>
      <w:r w:rsid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412C88" w:rsidRPr="00412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ұқаралық ақпарат құралдары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732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саласының </w:t>
      </w:r>
      <w:r w:rsidR="004F63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штаттық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қызметкерлері (журналистер, корреспонденттер, продюсерлер, беттеушілер, редакторлар, режиссерлер, дыбыс инженерлері, телерадио жүргізушілері, фотографтар, телерадио хабарларын тарату жөніндегі инженерлер, графикалық және мультимедиялық дизайнерлер, телерадио хабарларын тарату жөніндегі техниктер, аудио-видео операторлар, телекоммуникациялар жөніндегі монтажерлер, контент менеджері, жарықтандырушы, веб-дизайнерлер, медиа жоспарлау менеджері, медиа талдаушы);</w:t>
      </w:r>
    </w:p>
    <w:p w14:paraId="56C35979" w14:textId="776464E0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Әлеуметтік сала</w:t>
      </w:r>
      <w:r w:rsidR="008E4827"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қызметкерлері</w:t>
      </w: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776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атап айтқанда, </w:t>
      </w:r>
      <w:r w:rsidR="00D677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Маңғыстау облысында</w:t>
      </w:r>
      <w:r w:rsidR="008E48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 </w:t>
      </w:r>
      <w:r w:rsidRPr="00776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халықты әлеуметтік қорғау</w:t>
      </w:r>
      <w:r w:rsidR="00D677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мемлекеттік жастар саясаты, қоғамдық даму</w:t>
      </w:r>
      <w:r w:rsidR="00AB0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дін </w:t>
      </w:r>
      <w:r w:rsidRPr="00776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саласындағы мемлекеттік </w:t>
      </w:r>
      <w:r w:rsidR="00CF59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квазимемлекеттік мекемелерде </w:t>
      </w:r>
      <w:r w:rsidRPr="00776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істейтін бейінді қызметкерлер;</w:t>
      </w:r>
    </w:p>
    <w:p w14:paraId="1F4C554B" w14:textId="39A74008" w:rsidR="007764FA" w:rsidRP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Маңғыстау облысының коммуналдық кәсіпорындарының /мекемелерінің қызметкерлері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(коммуналдық мемлекеттік мекемелер, мемлекеттік коммуналдық қазыналық кәсіпорындар, шаруашылық жүргізу құқығындағы мемлекеттік коммуналдық кәсіпорындар, мемлекет 100% қатысатын </w:t>
      </w:r>
      <w:r w:rsidR="00366D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акционерлік қоғам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275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жауапкершілігі шектеулі серіктестік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);</w:t>
      </w:r>
    </w:p>
    <w:p w14:paraId="1D074FFC" w14:textId="63954BF4" w:rsidR="007764FA" w:rsidRDefault="007764FA" w:rsidP="008E4827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Азаматтық қорғаныс және төтенше жағдайлар саласы</w:t>
      </w:r>
      <w:r w:rsidR="005732A3" w:rsidRPr="0057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ның қызметкерлері</w:t>
      </w:r>
      <w:r w:rsidRPr="0057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атап айтқанда</w:t>
      </w:r>
      <w:r w:rsidR="00D677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7764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өрт сөндіру мен жедел-құтқару отрядтары;</w:t>
      </w:r>
    </w:p>
    <w:p w14:paraId="68A1CE3C" w14:textId="34064677" w:rsidR="00D67774" w:rsidRDefault="00CC0177" w:rsidP="008E482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Сондай-ақ, </w:t>
      </w:r>
      <w:r w:rsid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жоғарыда аталған салада жұмыс жасаған </w:t>
      </w: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 күтімін</w:t>
      </w:r>
      <w:r w:rsid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 байланысты еңбек демалысындағы </w:t>
      </w: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әйелдер.</w:t>
      </w:r>
      <w:r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Бұл санат бойынша қатысушы тең қарыз алушы ретінде үшінші тұлғаны тарта алады </w:t>
      </w:r>
      <w:r w:rsidRPr="002237C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(жақын туыстары).</w:t>
      </w:r>
    </w:p>
    <w:p w14:paraId="6EC9E9AE" w14:textId="77777777" w:rsidR="00CF5909" w:rsidRDefault="00CF5909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14:paraId="0344912B" w14:textId="14D1ECCB" w:rsidR="002F39EC" w:rsidRPr="00692864" w:rsidRDefault="002F39EC" w:rsidP="00692864">
      <w:pPr>
        <w:pStyle w:val="a5"/>
        <w:numPr>
          <w:ilvl w:val="0"/>
          <w:numId w:val="14"/>
        </w:numPr>
        <w:pBdr>
          <w:bottom w:val="single" w:sz="4" w:space="18" w:color="FFFFFF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БАҒДАРЛАМА</w:t>
      </w:r>
      <w:r w:rsidR="006928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ҒА</w:t>
      </w: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ҚАТЫСУ ҮШІН </w:t>
      </w:r>
      <w:r w:rsidRPr="006928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ҚАЖЕТТІ ҚҰЖАТТАР:</w:t>
      </w:r>
    </w:p>
    <w:p w14:paraId="7881CF79" w14:textId="5CCEA3E7" w:rsidR="002F39EC" w:rsidRPr="002F39EC" w:rsidRDefault="002F39EC" w:rsidP="002F39EC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7013F49" w14:textId="77777777" w:rsidR="004047A6" w:rsidRPr="00C41CA5" w:rsidRDefault="004047A6" w:rsidP="004047A6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CA5">
        <w:rPr>
          <w:rFonts w:ascii="Times New Roman" w:hAnsi="Times New Roman" w:cs="Times New Roman"/>
          <w:sz w:val="28"/>
          <w:szCs w:val="28"/>
          <w:lang w:val="kk-KZ"/>
        </w:rPr>
        <w:t>Белгіленген нысандағы өтініш;</w:t>
      </w:r>
    </w:p>
    <w:p w14:paraId="75E59454" w14:textId="77777777" w:rsidR="004047A6" w:rsidRPr="00C41CA5" w:rsidRDefault="004047A6" w:rsidP="004047A6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>Азаматтық хал-ахуалды мемлекеттік тіркеу туралы куәлік (балалардың тууы, қайтыс болуы, неке қию (ерлі-зайыптылық), некені (ерлі-зайыптылықты) бұзу);</w:t>
      </w:r>
    </w:p>
    <w:p w14:paraId="03785F4B" w14:textId="115E2099" w:rsidR="004047A6" w:rsidRPr="00C41CA5" w:rsidRDefault="004047A6" w:rsidP="004047A6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37CD" w:rsidRPr="00C41CA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бойын</w:t>
      </w:r>
      <w:r w:rsidR="002237CD">
        <w:rPr>
          <w:rFonts w:ascii="Times New Roman" w:hAnsi="Times New Roman"/>
          <w:sz w:val="28"/>
          <w:szCs w:val="28"/>
          <w:lang w:val="kk-KZ"/>
        </w:rPr>
        <w:t xml:space="preserve">ша </w:t>
      </w:r>
      <w:r w:rsidR="002237C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 xml:space="preserve">тініш берушіге және </w:t>
      </w:r>
      <w:r>
        <w:rPr>
          <w:rFonts w:ascii="Times New Roman" w:hAnsi="Times New Roman"/>
          <w:sz w:val="28"/>
          <w:szCs w:val="28"/>
          <w:lang w:val="kk-KZ"/>
        </w:rPr>
        <w:t>отбасының барлық мүшелеріне «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>Электрондық үкімет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веб-порталынан алынған </w:t>
      </w:r>
      <w:r w:rsidR="002237C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237CD" w:rsidRPr="002237CD">
        <w:rPr>
          <w:rFonts w:ascii="Times New Roman" w:hAnsi="Times New Roman" w:cs="Times New Roman"/>
          <w:sz w:val="28"/>
          <w:szCs w:val="28"/>
          <w:lang w:val="kk-KZ"/>
        </w:rPr>
        <w:t xml:space="preserve">еке </w:t>
      </w:r>
      <w:r w:rsidR="002237CD" w:rsidRPr="002237CD">
        <w:rPr>
          <w:rFonts w:ascii="Times New Roman" w:hAnsi="Times New Roman" w:cs="Times New Roman"/>
          <w:sz w:val="28"/>
          <w:szCs w:val="28"/>
          <w:lang w:val="kk-KZ"/>
        </w:rPr>
        <w:lastRenderedPageBreak/>
        <w:t>тұлғалар үшін жылжымайтын мүліктің болмауы (болуы) туралы</w:t>
      </w:r>
      <w:r w:rsidR="002237CD">
        <w:rPr>
          <w:rFonts w:ascii="Times New Roman" w:hAnsi="Times New Roman" w:cs="Times New Roman"/>
          <w:sz w:val="28"/>
          <w:szCs w:val="28"/>
          <w:lang w:val="kk-KZ"/>
        </w:rPr>
        <w:t xml:space="preserve"> анықтама</w:t>
      </w:r>
      <w:r w:rsidR="002237CD" w:rsidRPr="0022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>(egov.kz);</w:t>
      </w:r>
    </w:p>
    <w:p w14:paraId="3BEC6EA1" w14:textId="4A139B7D" w:rsidR="004047A6" w:rsidRPr="00C41CA5" w:rsidRDefault="004047A6" w:rsidP="004047A6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«Электрондық үкімет»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веб-порталынан алынған соңғы 6 айдағы зейнетақы </w:t>
      </w:r>
      <w:r w:rsidR="002237CD">
        <w:rPr>
          <w:rFonts w:ascii="Times New Roman" w:hAnsi="Times New Roman" w:cs="Times New Roman"/>
          <w:sz w:val="28"/>
          <w:szCs w:val="28"/>
          <w:lang w:val="kk-KZ"/>
        </w:rPr>
        <w:t>аударымдары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2237CD">
        <w:rPr>
          <w:rFonts w:ascii="Times New Roman" w:hAnsi="Times New Roman" w:cs="Times New Roman"/>
          <w:sz w:val="28"/>
          <w:szCs w:val="28"/>
          <w:lang w:val="kk-KZ"/>
        </w:rPr>
        <w:t xml:space="preserve">анықтама 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>(egov.kz);</w:t>
      </w:r>
    </w:p>
    <w:p w14:paraId="785CDAAB" w14:textId="77777777" w:rsidR="004047A6" w:rsidRPr="00C41CA5" w:rsidRDefault="004047A6" w:rsidP="004047A6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>Ұйымның/мекеменің фирмалық бланкісінде берілген анықтаманың берілген күні, шығыс нөмірі, жұмысқа орналасу күні және атқаратын лауазымы көрсетілген жұмыс орнынан анықтама (ресми бланк болмаған жағдайда анықтамада ұйымның мөрі болуға тиіс);</w:t>
      </w:r>
    </w:p>
    <w:p w14:paraId="4885003D" w14:textId="1AF17233" w:rsidR="005732A3" w:rsidRPr="00692864" w:rsidRDefault="004047A6" w:rsidP="005732A3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1CA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Еңбек кодексінің 35-бабына сәйкес еңбек өтілін растайтын құжаттар</w:t>
      </w:r>
      <w:r w:rsidR="005732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69B87F" w14:textId="77777777" w:rsidR="002F39EC" w:rsidRPr="002F39EC" w:rsidRDefault="002F39EC" w:rsidP="004047A6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7D7E284" w14:textId="2A8DBC82" w:rsidR="002F39EC" w:rsidRPr="005732A3" w:rsidRDefault="002F39EC" w:rsidP="005732A3">
      <w:pPr>
        <w:pStyle w:val="a5"/>
        <w:numPr>
          <w:ilvl w:val="0"/>
          <w:numId w:val="11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БАЛЛДАРДЫҢ ЕСЕПТЕЛУ ТӘРТІБІ</w:t>
      </w:r>
    </w:p>
    <w:p w14:paraId="50199787" w14:textId="77777777" w:rsidR="002F39EC" w:rsidRPr="002F39EC" w:rsidRDefault="002F39EC" w:rsidP="002F39EC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0D6EB04" w14:textId="77777777" w:rsidR="002F39EC" w:rsidRPr="002F39EC" w:rsidRDefault="00081DE3" w:rsidP="00081DE3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2F39EC"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Өтініш берушілердің тізімі баллдық жүйені ескере отырып санаттар </w:t>
      </w:r>
      <w:r w:rsidR="002F39EC" w:rsidRPr="002F39E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(салалар)</w:t>
      </w:r>
      <w:r w:rsidR="002F39EC"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қалыптастырылады </w:t>
      </w:r>
      <w:r w:rsidR="002F39EC" w:rsidRPr="005732A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(баллдардың ең көп саны бойынша):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6102"/>
        <w:gridCol w:w="3039"/>
      </w:tblGrid>
      <w:tr w:rsidR="002F39EC" w:rsidRPr="002F39EC" w14:paraId="3A73316F" w14:textId="77777777" w:rsidTr="00A123FE">
        <w:tc>
          <w:tcPr>
            <w:tcW w:w="498" w:type="dxa"/>
            <w:vAlign w:val="center"/>
          </w:tcPr>
          <w:p w14:paraId="5002AB2E" w14:textId="77777777" w:rsidR="002F39EC" w:rsidRPr="00F9572E" w:rsidRDefault="002F39EC" w:rsidP="002F39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102" w:type="dxa"/>
            <w:vAlign w:val="center"/>
          </w:tcPr>
          <w:p w14:paraId="116DDC6E" w14:textId="77777777" w:rsidR="002F39EC" w:rsidRPr="00F9572E" w:rsidRDefault="002F39EC" w:rsidP="002F39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Өлшемдер</w:t>
            </w:r>
          </w:p>
        </w:tc>
        <w:tc>
          <w:tcPr>
            <w:tcW w:w="3039" w:type="dxa"/>
            <w:vAlign w:val="center"/>
          </w:tcPr>
          <w:p w14:paraId="3EAE294C" w14:textId="77777777" w:rsidR="002F39EC" w:rsidRPr="00F9572E" w:rsidRDefault="002F39EC" w:rsidP="002F39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Баллдар</w:t>
            </w:r>
          </w:p>
        </w:tc>
      </w:tr>
      <w:tr w:rsidR="004047A6" w:rsidRPr="002F39EC" w14:paraId="28BAD542" w14:textId="77777777" w:rsidTr="009872FC">
        <w:tc>
          <w:tcPr>
            <w:tcW w:w="498" w:type="dxa"/>
            <w:vAlign w:val="center"/>
          </w:tcPr>
          <w:p w14:paraId="703C4D95" w14:textId="77777777" w:rsidR="004047A6" w:rsidRPr="00F9572E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102" w:type="dxa"/>
          </w:tcPr>
          <w:p w14:paraId="54793A4C" w14:textId="77777777" w:rsidR="004047A6" w:rsidRPr="004047A6" w:rsidRDefault="004047A6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7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Тіркелген некеде әр жыл үшін</w:t>
            </w:r>
          </w:p>
        </w:tc>
        <w:tc>
          <w:tcPr>
            <w:tcW w:w="3039" w:type="dxa"/>
            <w:vAlign w:val="center"/>
          </w:tcPr>
          <w:p w14:paraId="49BE6879" w14:textId="77777777" w:rsidR="004047A6" w:rsidRPr="00F9572E" w:rsidRDefault="004047A6" w:rsidP="00987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47A6" w:rsidRPr="002F39EC" w14:paraId="0D794139" w14:textId="77777777" w:rsidTr="009872FC">
        <w:tc>
          <w:tcPr>
            <w:tcW w:w="498" w:type="dxa"/>
            <w:vAlign w:val="center"/>
          </w:tcPr>
          <w:p w14:paraId="2293FCA7" w14:textId="77777777" w:rsidR="004047A6" w:rsidRPr="00F9572E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102" w:type="dxa"/>
          </w:tcPr>
          <w:p w14:paraId="22504493" w14:textId="77777777" w:rsidR="004047A6" w:rsidRPr="004047A6" w:rsidRDefault="004047A6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 xml:space="preserve">) бала </w:t>
            </w:r>
            <w:proofErr w:type="spellStart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</w:p>
        </w:tc>
        <w:tc>
          <w:tcPr>
            <w:tcW w:w="3039" w:type="dxa"/>
            <w:vAlign w:val="center"/>
          </w:tcPr>
          <w:p w14:paraId="7C636DD3" w14:textId="77777777" w:rsidR="004047A6" w:rsidRPr="00F9572E" w:rsidRDefault="004047A6" w:rsidP="00987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47A6" w:rsidRPr="002F39EC" w14:paraId="1332EE5C" w14:textId="77777777" w:rsidTr="009872FC">
        <w:tc>
          <w:tcPr>
            <w:tcW w:w="498" w:type="dxa"/>
            <w:vAlign w:val="center"/>
          </w:tcPr>
          <w:p w14:paraId="7FC7EE10" w14:textId="77777777" w:rsidR="004047A6" w:rsidRPr="00F9572E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102" w:type="dxa"/>
          </w:tcPr>
          <w:p w14:paraId="3404CB28" w14:textId="77777777" w:rsidR="004047A6" w:rsidRPr="004047A6" w:rsidRDefault="004047A6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рбір</w:t>
            </w:r>
            <w:proofErr w:type="spellEnd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 xml:space="preserve"> бала </w:t>
            </w:r>
            <w:proofErr w:type="spellStart"/>
            <w:r w:rsidRPr="004047A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</w:p>
        </w:tc>
        <w:tc>
          <w:tcPr>
            <w:tcW w:w="3039" w:type="dxa"/>
            <w:vAlign w:val="center"/>
          </w:tcPr>
          <w:p w14:paraId="36F29460" w14:textId="77777777" w:rsidR="004047A6" w:rsidRPr="00F9572E" w:rsidRDefault="004047A6" w:rsidP="00987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57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4047A6" w:rsidRPr="002F39EC" w14:paraId="14B367B3" w14:textId="77777777" w:rsidTr="009872FC">
        <w:tc>
          <w:tcPr>
            <w:tcW w:w="498" w:type="dxa"/>
            <w:vAlign w:val="center"/>
          </w:tcPr>
          <w:p w14:paraId="23EEFDD7" w14:textId="77777777" w:rsidR="004047A6" w:rsidRPr="00F9572E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95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102" w:type="dxa"/>
          </w:tcPr>
          <w:p w14:paraId="228CE059" w14:textId="77777777" w:rsidR="004047A6" w:rsidRPr="004047A6" w:rsidRDefault="004047A6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7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санаттағы (саладағы)</w:t>
            </w:r>
            <w:r w:rsidR="009872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47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өтілінің әрбір жылы үшін</w:t>
            </w:r>
          </w:p>
        </w:tc>
        <w:tc>
          <w:tcPr>
            <w:tcW w:w="3039" w:type="dxa"/>
            <w:vAlign w:val="center"/>
          </w:tcPr>
          <w:p w14:paraId="11877580" w14:textId="77777777" w:rsidR="004047A6" w:rsidRPr="00F9572E" w:rsidRDefault="004047A6" w:rsidP="00987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7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47A6" w:rsidRPr="002F39EC" w14:paraId="6499E446" w14:textId="77777777" w:rsidTr="00A123FE">
        <w:tc>
          <w:tcPr>
            <w:tcW w:w="9639" w:type="dxa"/>
            <w:gridSpan w:val="3"/>
          </w:tcPr>
          <w:p w14:paraId="419DFA58" w14:textId="77777777" w:rsidR="004047A6" w:rsidRPr="0027527D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  <w:r w:rsidRPr="002752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  <w:t>Қатысушылар бірдей ұпай жинаған жағдайда, жасы бойынша үлкен қатысушы артықшылыққа ие болады</w:t>
            </w:r>
          </w:p>
        </w:tc>
      </w:tr>
    </w:tbl>
    <w:p w14:paraId="341FDA55" w14:textId="77777777" w:rsidR="00692864" w:rsidRPr="002F39EC" w:rsidRDefault="00692864" w:rsidP="002F39EC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5" w:name="_GoBack"/>
      <w:bookmarkEnd w:id="5"/>
    </w:p>
    <w:p w14:paraId="216FB30C" w14:textId="3A792096" w:rsidR="002F39EC" w:rsidRPr="005732A3" w:rsidRDefault="002F39EC" w:rsidP="005732A3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732A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ТӨЛЕМ ҚАБІЛЕТТІЛІГІНІҢ БАҒАСЫН ҚАЛАЙ ӨТУГЕ БОЛАДЫ:</w:t>
      </w:r>
    </w:p>
    <w:p w14:paraId="5534A5B4" w14:textId="77777777" w:rsidR="002F39EC" w:rsidRPr="002F39EC" w:rsidRDefault="002F39EC" w:rsidP="002F39EC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FC5DC21" w14:textId="4A4B8A37" w:rsidR="002F39EC" w:rsidRPr="008E0B7F" w:rsidRDefault="002F39EC" w:rsidP="00081DE3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Жолдаманы алған өтініш берушілер 10 </w:t>
      </w:r>
      <w:r w:rsidRPr="008E0B7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(он)</w:t>
      </w: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жұмыс күні ішінде төлем қабілеттілігін бағалаудан өту үшін «Отбасы банк» </w:t>
      </w:r>
      <w:r w:rsidR="00426C3F"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ұрғын үй құрылыс жинақ банкі» АҚ-ның кез келген қызмет көрсету орталығына жүгіну қажет.</w:t>
      </w:r>
    </w:p>
    <w:p w14:paraId="41BFFCDE" w14:textId="7D54A53D" w:rsidR="00CF5909" w:rsidRPr="008E0B7F" w:rsidRDefault="00CF5909" w:rsidP="00081DE3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2BE2153" w14:textId="4A4D49A5" w:rsidR="002F39EC" w:rsidRPr="008E0B7F" w:rsidRDefault="002F39EC" w:rsidP="00362A73">
      <w:pPr>
        <w:pStyle w:val="a5"/>
        <w:numPr>
          <w:ilvl w:val="0"/>
          <w:numId w:val="11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E0B7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«ОТБАСЫ БАНК» ТҰРҒЫН ҮЙ ҚҰРЫЛЫС ЖИНАҚ БАНКІ» АҚ-ДА ТӨЛЕМ ҚАБІЛЕТІН БАҒАЛАУ ҮШІН ҚАЖЕТТІ ҚҰЖАТТАР:</w:t>
      </w:r>
    </w:p>
    <w:p w14:paraId="5311196F" w14:textId="77777777" w:rsidR="002F39EC" w:rsidRPr="008E0B7F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2099E94" w14:textId="262E5F68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«Отбасы банк» </w:t>
      </w:r>
      <w:r w:rsidR="00426C3F"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ұрғын үй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құрылыс жинақ банкі» АҚ-да төлем қабілетін бағалау үшін жолдама;</w:t>
      </w:r>
    </w:p>
    <w:p w14:paraId="561569C8" w14:textId="40323B8F" w:rsidR="002F39EC" w:rsidRPr="00F9572E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A46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лиенттің және клиент жұбайының жеке басын куәландыратын құжат </w:t>
      </w:r>
      <w:r w:rsidRPr="00F957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(құжаттардың түпнұсқасы және көшірмелері);</w:t>
      </w:r>
    </w:p>
    <w:p w14:paraId="0E880B94" w14:textId="61958767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="00A46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екеге тұру/</w:t>
      </w:r>
      <w:r w:rsidR="00366D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екені бұзу туралы куәлік/</w:t>
      </w:r>
      <w:r w:rsidR="00366D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айтыс болу туралы куәлік </w:t>
      </w:r>
      <w:r w:rsidRPr="00F957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(құжаттардың түпнұсқасы және көшірмелері);</w:t>
      </w:r>
    </w:p>
    <w:p w14:paraId="1430F227" w14:textId="4C84102A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="00A46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алалардың туу туралы куәліктері </w:t>
      </w:r>
      <w:r w:rsidRPr="00F957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(құжаттардың түпнұсқасы және көшірмелері);</w:t>
      </w:r>
    </w:p>
    <w:p w14:paraId="34C67D4A" w14:textId="4A09A884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="00A46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арлық ұсталған соманы көрсету арқылы жалақы туралы анықтама </w:t>
      </w:r>
      <w:r w:rsidRPr="00F957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(соңғы 7 немесе 13 айға);</w:t>
      </w:r>
    </w:p>
    <w:p w14:paraId="3DC13F6C" w14:textId="1394E60B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6. e-gov.kz веб-порталынан клиенттің және клиент жұбайының зейнетақы аударымдары туралы </w:t>
      </w:r>
      <w:r w:rsidR="00366D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анықтама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(соңғы 6 немесе 12 айға);</w:t>
      </w:r>
    </w:p>
    <w:p w14:paraId="63E61A07" w14:textId="35C59108" w:rsidR="008E0B7F" w:rsidRDefault="002F39EC" w:rsidP="008E0B7F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r w:rsidR="00366D29"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e-gov.kz веб-порталынан клиенттің</w:t>
      </w:r>
      <w:r w:rsidR="00366D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дербес несие есебі.</w:t>
      </w:r>
    </w:p>
    <w:p w14:paraId="7759BF96" w14:textId="77777777" w:rsidR="008E0B7F" w:rsidRPr="002F39EC" w:rsidRDefault="008E0B7F" w:rsidP="008E0B7F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D5D6481" w14:textId="77777777" w:rsidR="002F39EC" w:rsidRPr="00F9572E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Қосымша </w:t>
      </w:r>
      <w:r w:rsidRPr="00F95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(болған жағдайда):</w:t>
      </w:r>
    </w:p>
    <w:p w14:paraId="32E58D0B" w14:textId="38E1C1C6" w:rsidR="002F39EC" w:rsidRPr="00F9572E" w:rsidRDefault="002F39EC" w:rsidP="002F39EC">
      <w:pPr>
        <w:pBdr>
          <w:bottom w:val="single" w:sz="4" w:space="18" w:color="FFFFFF"/>
        </w:pBd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Зейнетақы </w:t>
      </w:r>
      <w:r w:rsidR="002752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аударымдарының </w:t>
      </w:r>
      <w:r w:rsidRPr="00F957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мөлшері туралы екінші деңгейдегі банктердегі карта шотынан </w:t>
      </w:r>
      <w:r w:rsidR="002752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анықтама.</w:t>
      </w:r>
    </w:p>
    <w:p w14:paraId="2B60B34B" w14:textId="77777777" w:rsidR="002F39EC" w:rsidRPr="00F9572E" w:rsidRDefault="002F39EC" w:rsidP="002F39EC">
      <w:pPr>
        <w:pBdr>
          <w:bottom w:val="single" w:sz="4" w:space="18" w:color="FFFFFF"/>
        </w:pBd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Жоғары және арнаулы орта студенттері үшін:</w:t>
      </w:r>
    </w:p>
    <w:p w14:paraId="37CB04FC" w14:textId="77777777" w:rsidR="002F39EC" w:rsidRPr="00F9572E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Шәкіртақы мөлшерін растайтын құжат.</w:t>
      </w:r>
    </w:p>
    <w:p w14:paraId="028B0EFE" w14:textId="77777777" w:rsidR="002F39EC" w:rsidRPr="00F9572E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Әскери қызметшілер үшін:</w:t>
      </w:r>
    </w:p>
    <w:p w14:paraId="2BCAD8C7" w14:textId="77777777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Шоттан үзінді көшірме мен тұрғын үй төлемдерін алу туралы </w:t>
      </w:r>
      <w:r w:rsidRPr="00366D2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(6 айға және одан көп).</w:t>
      </w:r>
    </w:p>
    <w:p w14:paraId="1FEB0E1C" w14:textId="77777777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788FB0D" w14:textId="45C90C93" w:rsidR="002F39EC" w:rsidRPr="00362A73" w:rsidRDefault="002F39EC" w:rsidP="00362A73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62A7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ТӨЛЕМ ҚАБІЛЕТТІЛІКТІ БАҒАЛАҒАННАН КЕЙІНГІ ІС-ӘРЕКЕТТЕР:</w:t>
      </w:r>
    </w:p>
    <w:p w14:paraId="7D13E202" w14:textId="77777777" w:rsidR="002F39EC" w:rsidRPr="002F39EC" w:rsidRDefault="002F39EC" w:rsidP="002F39EC">
      <w:pPr>
        <w:pBdr>
          <w:bottom w:val="single" w:sz="4" w:space="1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ED26115" w14:textId="77777777" w:rsidR="002F39EC" w:rsidRPr="002F39EC" w:rsidRDefault="002F39EC" w:rsidP="00081DE3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 банк рәсімінен өтпеген жағдайда, Әкімдік тізім бойынша келесі қатысушыға жолдама беруге құқылы.</w:t>
      </w:r>
    </w:p>
    <w:p w14:paraId="67E3544B" w14:textId="6B6EE8CA" w:rsidR="002F39EC" w:rsidRPr="002F39EC" w:rsidRDefault="002F39EC" w:rsidP="00081DE3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Банк біліктілігін өткеннен кейін, </w:t>
      </w:r>
      <w:r w:rsidR="00426C3F"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45/60 (қырық бес/алпыс)</w:t>
      </w: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26C3F" w:rsidRPr="008E0B7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күнтізбелік</w:t>
      </w:r>
      <w:r w:rsidRPr="008E0B7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күн ішінде қатысушы тұрғын үйді таңдап, тиісті құжаттарды «Отбасы банк» </w:t>
      </w:r>
      <w:r w:rsidR="00426C3F"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8E0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ұрғын</w:t>
      </w: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 құрылыс жинақ банкі» АҚ-ға ұсынуға міндетті.</w:t>
      </w:r>
    </w:p>
    <w:p w14:paraId="62D53450" w14:textId="4C8E9C00" w:rsidR="002F39EC" w:rsidRPr="00362A73" w:rsidRDefault="002F39EC" w:rsidP="00362A73">
      <w:pPr>
        <w:pBdr>
          <w:bottom w:val="single" w:sz="4" w:space="18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қатысушы белгіленген мерзімде тұрғын үй ала алмаған жағдайда, Әкімдік тізім бойынша келесі қатысушыға жолдама беруге құқылы.</w:t>
      </w:r>
    </w:p>
    <w:p w14:paraId="2844CC36" w14:textId="5A71D7DB" w:rsidR="002F39EC" w:rsidRPr="002F39EC" w:rsidRDefault="00362A73" w:rsidP="00081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2F39EC" w:rsidRPr="002F39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ағдарлама Қазақстан Республикасының заңнамасына сәйкес тиісті маслихат шешімімен көзделген  қаражат шеңберінде жүзеге асырылады.</w:t>
      </w:r>
    </w:p>
    <w:p w14:paraId="725B03B6" w14:textId="77777777" w:rsidR="00CC0177" w:rsidRPr="00CC0177" w:rsidRDefault="00CC0177" w:rsidP="00081D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CC0177" w:rsidRPr="00CC0177" w:rsidSect="00613BAF">
      <w:pgSz w:w="11906" w:h="16838"/>
      <w:pgMar w:top="993" w:right="850" w:bottom="1135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5471" w14:textId="77777777" w:rsidR="00372825" w:rsidRDefault="00372825" w:rsidP="00362A73">
      <w:pPr>
        <w:spacing w:after="0" w:line="240" w:lineRule="auto"/>
      </w:pPr>
      <w:r>
        <w:separator/>
      </w:r>
    </w:p>
  </w:endnote>
  <w:endnote w:type="continuationSeparator" w:id="0">
    <w:p w14:paraId="375DE109" w14:textId="77777777" w:rsidR="00372825" w:rsidRDefault="00372825" w:rsidP="003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FB14" w14:textId="77777777" w:rsidR="00372825" w:rsidRDefault="00372825" w:rsidP="00362A73">
      <w:pPr>
        <w:spacing w:after="0" w:line="240" w:lineRule="auto"/>
      </w:pPr>
      <w:r>
        <w:separator/>
      </w:r>
    </w:p>
  </w:footnote>
  <w:footnote w:type="continuationSeparator" w:id="0">
    <w:p w14:paraId="41B2A02E" w14:textId="77777777" w:rsidR="00372825" w:rsidRDefault="00372825" w:rsidP="003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258"/>
    <w:multiLevelType w:val="hybridMultilevel"/>
    <w:tmpl w:val="37D6801C"/>
    <w:lvl w:ilvl="0" w:tplc="4EC6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3DB"/>
    <w:multiLevelType w:val="hybridMultilevel"/>
    <w:tmpl w:val="AA90CCBE"/>
    <w:lvl w:ilvl="0" w:tplc="4906C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893"/>
    <w:multiLevelType w:val="hybridMultilevel"/>
    <w:tmpl w:val="367C9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C298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DF2"/>
    <w:multiLevelType w:val="hybridMultilevel"/>
    <w:tmpl w:val="23A25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9038B"/>
    <w:multiLevelType w:val="hybridMultilevel"/>
    <w:tmpl w:val="AAE49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65307A"/>
    <w:multiLevelType w:val="hybridMultilevel"/>
    <w:tmpl w:val="5C42E5DE"/>
    <w:lvl w:ilvl="0" w:tplc="FA286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2DB6"/>
    <w:multiLevelType w:val="hybridMultilevel"/>
    <w:tmpl w:val="99C46070"/>
    <w:lvl w:ilvl="0" w:tplc="07A8F966">
      <w:start w:val="1"/>
      <w:numFmt w:val="decimal"/>
      <w:lvlText w:val="%1)"/>
      <w:lvlJc w:val="left"/>
      <w:pPr>
        <w:ind w:left="60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305608F7"/>
    <w:multiLevelType w:val="hybridMultilevel"/>
    <w:tmpl w:val="1D6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711F"/>
    <w:multiLevelType w:val="hybridMultilevel"/>
    <w:tmpl w:val="9FD0577C"/>
    <w:lvl w:ilvl="0" w:tplc="A278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1A31"/>
    <w:multiLevelType w:val="hybridMultilevel"/>
    <w:tmpl w:val="3EDA7F24"/>
    <w:lvl w:ilvl="0" w:tplc="FC5C0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72D2"/>
    <w:multiLevelType w:val="hybridMultilevel"/>
    <w:tmpl w:val="A2A8AB3C"/>
    <w:lvl w:ilvl="0" w:tplc="AB706D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67CB"/>
    <w:multiLevelType w:val="hybridMultilevel"/>
    <w:tmpl w:val="19F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4CC9"/>
    <w:multiLevelType w:val="hybridMultilevel"/>
    <w:tmpl w:val="1F18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01C5"/>
    <w:multiLevelType w:val="hybridMultilevel"/>
    <w:tmpl w:val="0C5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C4"/>
    <w:rsid w:val="000409C9"/>
    <w:rsid w:val="00081DE3"/>
    <w:rsid w:val="000C53CA"/>
    <w:rsid w:val="000D602A"/>
    <w:rsid w:val="0012714D"/>
    <w:rsid w:val="0015128B"/>
    <w:rsid w:val="001B0681"/>
    <w:rsid w:val="001B5645"/>
    <w:rsid w:val="002237CD"/>
    <w:rsid w:val="00226887"/>
    <w:rsid w:val="0027527D"/>
    <w:rsid w:val="00275DCC"/>
    <w:rsid w:val="002A6DFE"/>
    <w:rsid w:val="002F39EC"/>
    <w:rsid w:val="00361C11"/>
    <w:rsid w:val="00362A73"/>
    <w:rsid w:val="00366D29"/>
    <w:rsid w:val="00372825"/>
    <w:rsid w:val="003A1196"/>
    <w:rsid w:val="003C34FB"/>
    <w:rsid w:val="003C5F88"/>
    <w:rsid w:val="003F0A7F"/>
    <w:rsid w:val="004047A6"/>
    <w:rsid w:val="00407CE9"/>
    <w:rsid w:val="00412C88"/>
    <w:rsid w:val="00426C3F"/>
    <w:rsid w:val="0043466B"/>
    <w:rsid w:val="004B5DC1"/>
    <w:rsid w:val="004C2F26"/>
    <w:rsid w:val="004F638B"/>
    <w:rsid w:val="0057069D"/>
    <w:rsid w:val="005732A3"/>
    <w:rsid w:val="00582403"/>
    <w:rsid w:val="00613BAF"/>
    <w:rsid w:val="00632FFE"/>
    <w:rsid w:val="006540A5"/>
    <w:rsid w:val="00692864"/>
    <w:rsid w:val="006D4BC0"/>
    <w:rsid w:val="0071042D"/>
    <w:rsid w:val="00714B45"/>
    <w:rsid w:val="007764FA"/>
    <w:rsid w:val="007B0A1B"/>
    <w:rsid w:val="00837D72"/>
    <w:rsid w:val="008908DD"/>
    <w:rsid w:val="008A24D7"/>
    <w:rsid w:val="008B6831"/>
    <w:rsid w:val="008E0B7F"/>
    <w:rsid w:val="008E4827"/>
    <w:rsid w:val="009009BE"/>
    <w:rsid w:val="00923B7A"/>
    <w:rsid w:val="00925E50"/>
    <w:rsid w:val="009872FC"/>
    <w:rsid w:val="00A469D1"/>
    <w:rsid w:val="00AB00C1"/>
    <w:rsid w:val="00AE1F14"/>
    <w:rsid w:val="00B72A1F"/>
    <w:rsid w:val="00C06976"/>
    <w:rsid w:val="00C21EB2"/>
    <w:rsid w:val="00CA1D63"/>
    <w:rsid w:val="00CC0177"/>
    <w:rsid w:val="00CD75E1"/>
    <w:rsid w:val="00CF0E80"/>
    <w:rsid w:val="00CF5909"/>
    <w:rsid w:val="00CF6F0E"/>
    <w:rsid w:val="00D059D6"/>
    <w:rsid w:val="00D67774"/>
    <w:rsid w:val="00DC2E9D"/>
    <w:rsid w:val="00E1799A"/>
    <w:rsid w:val="00E3107A"/>
    <w:rsid w:val="00E62441"/>
    <w:rsid w:val="00E72FC4"/>
    <w:rsid w:val="00E96D60"/>
    <w:rsid w:val="00F6171A"/>
    <w:rsid w:val="00F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B8F4"/>
  <w15:chartTrackingRefBased/>
  <w15:docId w15:val="{D175B83A-EE8E-4D1F-B14E-7C24EDC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39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39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A73"/>
  </w:style>
  <w:style w:type="paragraph" w:styleId="aa">
    <w:name w:val="footer"/>
    <w:basedOn w:val="a"/>
    <w:link w:val="ab"/>
    <w:uiPriority w:val="99"/>
    <w:unhideWhenUsed/>
    <w:rsid w:val="0036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gystauzhastar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Куанышбеков Батырхан</dc:creator>
  <cp:keywords/>
  <dc:description/>
  <cp:lastModifiedBy>Ералиев Райымбек</cp:lastModifiedBy>
  <cp:revision>21</cp:revision>
  <cp:lastPrinted>2023-09-05T05:21:00Z</cp:lastPrinted>
  <dcterms:created xsi:type="dcterms:W3CDTF">2023-07-30T18:18:00Z</dcterms:created>
  <dcterms:modified xsi:type="dcterms:W3CDTF">2023-11-15T06:44:00Z</dcterms:modified>
</cp:coreProperties>
</file>